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0" w:rsidRDefault="00C370B0" w:rsidP="00912559">
      <w:pPr>
        <w:pStyle w:val="Zwykytekst"/>
        <w:rPr>
          <w:b/>
          <w:bCs/>
        </w:rPr>
      </w:pPr>
    </w:p>
    <w:p w:rsidR="009B23E2" w:rsidRDefault="00C370B0" w:rsidP="00912559">
      <w:pPr>
        <w:pStyle w:val="Zwykytekst"/>
        <w:rPr>
          <w:b/>
          <w:bCs/>
        </w:rPr>
      </w:pPr>
      <w:r>
        <w:rPr>
          <w:b/>
          <w:bCs/>
        </w:rPr>
        <w:t xml:space="preserve">Komentarz PIIT </w:t>
      </w:r>
      <w:r w:rsidR="00912559">
        <w:rPr>
          <w:b/>
          <w:bCs/>
        </w:rPr>
        <w:t xml:space="preserve"> w dyskusji </w:t>
      </w:r>
    </w:p>
    <w:p w:rsidR="00912559" w:rsidRDefault="00912559" w:rsidP="00912559">
      <w:pPr>
        <w:pStyle w:val="Zwykytekst"/>
        <w:rPr>
          <w:b/>
          <w:bCs/>
        </w:rPr>
      </w:pPr>
      <w:r>
        <w:rPr>
          <w:b/>
          <w:bCs/>
        </w:rPr>
        <w:t>o interoperacyjności w kontekście prac na rozporządzeniem o Krajowych Ramach Interoperacyjności</w:t>
      </w:r>
    </w:p>
    <w:p w:rsidR="00912559" w:rsidRDefault="00912559" w:rsidP="00912559">
      <w:pPr>
        <w:pStyle w:val="Zwykytekst"/>
        <w:rPr>
          <w:b/>
          <w:bCs/>
        </w:rPr>
      </w:pPr>
    </w:p>
    <w:p w:rsidR="00912559" w:rsidRPr="00912559" w:rsidRDefault="00912559" w:rsidP="00912559">
      <w:pPr>
        <w:pStyle w:val="Zwykytekst"/>
        <w:numPr>
          <w:ilvl w:val="0"/>
          <w:numId w:val="2"/>
        </w:numPr>
        <w:rPr>
          <w:b/>
          <w:bCs/>
          <w:lang w:val="en-US"/>
        </w:rPr>
      </w:pPr>
      <w:r w:rsidRPr="00912559">
        <w:rPr>
          <w:b/>
          <w:bCs/>
          <w:lang w:val="en-US"/>
        </w:rPr>
        <w:t>SAGA (Standard and Architecture for Government Administration)</w:t>
      </w:r>
    </w:p>
    <w:p w:rsidR="00912559" w:rsidRPr="00912559" w:rsidRDefault="00912559" w:rsidP="00912559">
      <w:pPr>
        <w:pStyle w:val="Zwykytekst"/>
        <w:rPr>
          <w:lang w:val="en-US"/>
        </w:rPr>
      </w:pPr>
    </w:p>
    <w:p w:rsidR="00912559" w:rsidRDefault="00912559" w:rsidP="00C370B0">
      <w:pPr>
        <w:pStyle w:val="Zwykytekst"/>
        <w:spacing w:after="120"/>
      </w:pPr>
      <w:r>
        <w:t>SAGA jest dokumentem niemieckim oddającym charakterystykę niemieckiego sektora publicznego z całą jego historią i dziedzictwem. Przenoszenie jego na grunt polski jest na tym etapie zbędne.</w:t>
      </w:r>
    </w:p>
    <w:p w:rsidR="00912559" w:rsidRDefault="00912559" w:rsidP="00C370B0">
      <w:pPr>
        <w:pStyle w:val="Zwykytekst"/>
        <w:spacing w:after="120"/>
      </w:pPr>
      <w:r>
        <w:t>Dlaczego? W Polsce powinniśmy:</w:t>
      </w:r>
    </w:p>
    <w:p w:rsidR="00912559" w:rsidRDefault="00912559" w:rsidP="00C370B0">
      <w:pPr>
        <w:pStyle w:val="Zwykytekst"/>
        <w:spacing w:after="120"/>
        <w:ind w:left="708"/>
      </w:pPr>
      <w:r>
        <w:t>(a) brać pod uwagę ostatnie 6 lat funkcjonowania rozporządzenia o minimalnych wymaganiach i efekty jego stosowania</w:t>
      </w:r>
    </w:p>
    <w:p w:rsidR="00912559" w:rsidRDefault="00912559" w:rsidP="00C370B0">
      <w:pPr>
        <w:pStyle w:val="Zwykytekst"/>
        <w:spacing w:after="120"/>
        <w:ind w:left="708"/>
      </w:pPr>
      <w:r>
        <w:t>(b) brać pod uwagę Europejską Agendę Cyfrową, e-Government Action Plan oraz Europejską Strategię Interoperacyjności (EIS) i Europejskie Ramy Interoperacyjności (EIF 2.0)</w:t>
      </w:r>
    </w:p>
    <w:p w:rsidR="00912559" w:rsidRDefault="00912559" w:rsidP="00C370B0">
      <w:pPr>
        <w:pStyle w:val="Zwykytekst"/>
        <w:spacing w:after="120"/>
      </w:pPr>
      <w:r>
        <w:t>SAGA jest także przykładem architektury korporacyjnej, projektu jaki nawet nie został w Polsce do końca przedyskutowany, choć pewne jego elementy już istnieją</w:t>
      </w:r>
    </w:p>
    <w:p w:rsidR="00912559" w:rsidRDefault="00912559" w:rsidP="00C370B0">
      <w:pPr>
        <w:pStyle w:val="Zwykytekst"/>
        <w:spacing w:after="120"/>
      </w:pPr>
      <w:r>
        <w:t>SAGA będzie musiała się - w jakimś stopniu - dostosować do EIS/EIF, a nie na odwrót; skoro możemy dzisiaj dostosować się do EIF – to zróbmy to i nie oglądajmy się na Niemców</w:t>
      </w:r>
    </w:p>
    <w:p w:rsidR="00912559" w:rsidRDefault="00912559" w:rsidP="00C370B0">
      <w:pPr>
        <w:pStyle w:val="Zwykytekst"/>
        <w:spacing w:after="120"/>
      </w:pPr>
      <w:r>
        <w:t>SAGA jest tak obszernym dokumentem, że rozpoczynanie w tej chwili ponownie prac nad rozporządzeniem wydaje się być bezcelowe – w chwili obecnej NIE OBOWIĄZUJE  już poprzednie rozporządzenie, a KRI jest na finiszu przygotowywania; to jakby na nowo rozpocząć całą dyskusję...</w:t>
      </w:r>
    </w:p>
    <w:p w:rsidR="00AE6A92" w:rsidRDefault="00AE6A92" w:rsidP="00AE6A92"/>
    <w:p w:rsidR="00AE6A92" w:rsidRPr="00784C52" w:rsidRDefault="00AE6A92" w:rsidP="00AE6A92">
      <w:r>
        <w:t xml:space="preserve">I jeszcze jeden wyjątek z odpowiedzi federalnego ministerstwa spraw wewnętrznych Republiki Federalnej Niemiec, a dotyczący faktu, że rząd niemiecki będzie wspierał europejskie ramy </w:t>
      </w:r>
      <w:proofErr w:type="spellStart"/>
      <w:r>
        <w:t>interoperacyjności</w:t>
      </w:r>
      <w:proofErr w:type="spellEnd"/>
      <w:r>
        <w:t xml:space="preserve">. Pośrednio jest to odpowiedź na sugestię p. </w:t>
      </w:r>
      <w:proofErr w:type="spellStart"/>
      <w:r>
        <w:t>Halbersztadta</w:t>
      </w:r>
      <w:proofErr w:type="spellEnd"/>
      <w:r>
        <w:t xml:space="preserve">, że powinniśmy wziąć przykład z niemieckiego dokumentu SAGA przy tworzeniu Krajowych Ram </w:t>
      </w:r>
      <w:proofErr w:type="spellStart"/>
      <w:r>
        <w:t>Interoperacyjności</w:t>
      </w:r>
      <w:proofErr w:type="spellEnd"/>
      <w:r>
        <w:t>.</w:t>
      </w:r>
    </w:p>
    <w:p w:rsidR="00AE6A92" w:rsidRDefault="00AE6A92" w:rsidP="00AE6A92">
      <w:pPr>
        <w:rPr>
          <w:i/>
        </w:rPr>
      </w:pPr>
    </w:p>
    <w:p w:rsidR="00AE6A92" w:rsidRPr="00AE6A92" w:rsidRDefault="00AE6A92" w:rsidP="00AE6A92">
      <w:pPr>
        <w:spacing w:after="120"/>
        <w:ind w:left="11" w:hanging="12"/>
      </w:pPr>
      <w:r>
        <w:t>T</w:t>
      </w:r>
      <w:r w:rsidRPr="00AE6A92">
        <w:t xml:space="preserve">łumaczenie z poniższego oryginału zamieszczonego w odpowiedzi niemieckiego  MSW,  która z datą przyjęcia 6 maja została umieszczona na stronach dr von </w:t>
      </w:r>
      <w:proofErr w:type="spellStart"/>
      <w:r w:rsidRPr="00AE6A92">
        <w:t>Notza</w:t>
      </w:r>
      <w:proofErr w:type="spellEnd"/>
      <w:r w:rsidRPr="00AE6A92">
        <w:t>.</w:t>
      </w:r>
    </w:p>
    <w:p w:rsidR="00AE6A92" w:rsidRDefault="00AE6A92" w:rsidP="00AE6A92">
      <w:pPr>
        <w:rPr>
          <w:i/>
        </w:rPr>
      </w:pPr>
      <w:hyperlink r:id="rId7" w:history="1">
        <w:r>
          <w:rPr>
            <w:rStyle w:val="Hipercze"/>
          </w:rPr>
          <w:t>http://www.von-notz.de/downloads/antwort-ka_bmi_quelloffene-software-aa_03-05-2.pdf</w:t>
        </w:r>
      </w:hyperlink>
      <w:r>
        <w:rPr>
          <w:i/>
        </w:rPr>
        <w:t>.</w:t>
      </w:r>
    </w:p>
    <w:p w:rsidR="00AE6A92" w:rsidRDefault="00AE6A92" w:rsidP="00AE6A92">
      <w:pPr>
        <w:rPr>
          <w:i/>
        </w:rPr>
      </w:pPr>
    </w:p>
    <w:p w:rsidR="00AE6A92" w:rsidRPr="00784C52" w:rsidRDefault="00AE6A92" w:rsidP="00AE6A92">
      <w:pPr>
        <w:rPr>
          <w:i/>
        </w:rPr>
      </w:pPr>
      <w:r w:rsidRPr="00784C52">
        <w:rPr>
          <w:i/>
        </w:rPr>
        <w:t xml:space="preserve">3. Jakie działania podjął rząd federalny aby zachęcić do upowszechnienia "otwartych standardów" i </w:t>
      </w:r>
      <w:proofErr w:type="spellStart"/>
      <w:r w:rsidRPr="00784C52">
        <w:rPr>
          <w:i/>
        </w:rPr>
        <w:t>interoperacyjnych</w:t>
      </w:r>
      <w:proofErr w:type="spellEnd"/>
      <w:r w:rsidRPr="00784C52">
        <w:rPr>
          <w:i/>
        </w:rPr>
        <w:t xml:space="preserve"> systemów w gospodarce i  w administracji, w tym na poziomie europejskim, do czego został zobowiązany dokumentem </w:t>
      </w:r>
      <w:proofErr w:type="spellStart"/>
      <w:r w:rsidRPr="00784C52">
        <w:rPr>
          <w:i/>
        </w:rPr>
        <w:t>strategicznycm</w:t>
      </w:r>
      <w:proofErr w:type="spellEnd"/>
      <w:r w:rsidRPr="00784C52">
        <w:rPr>
          <w:i/>
        </w:rPr>
        <w:t xml:space="preserve"> „Cyfrowe Niemcy 2015”?</w:t>
      </w:r>
    </w:p>
    <w:p w:rsidR="00AE6A92" w:rsidRDefault="00AE6A92" w:rsidP="00AE6A92">
      <w:r>
        <w:t xml:space="preserve">Ad </w:t>
      </w:r>
      <w:r w:rsidRPr="00784C52">
        <w:t xml:space="preserve">3. </w:t>
      </w:r>
    </w:p>
    <w:p w:rsidR="00AE6A92" w:rsidRDefault="00AE6A92" w:rsidP="00AE6A92">
      <w:r w:rsidRPr="00784C52">
        <w:t xml:space="preserve">Rząd Federalny </w:t>
      </w:r>
      <w:r>
        <w:t xml:space="preserve">wspiera Europejską Agendę Cyfrową i </w:t>
      </w:r>
      <w:proofErr w:type="spellStart"/>
      <w:r>
        <w:t>e-Government</w:t>
      </w:r>
      <w:proofErr w:type="spellEnd"/>
      <w:r>
        <w:t xml:space="preserve"> Action Plan 2010-2015 przedstawione przez Komisję Europejską. </w:t>
      </w:r>
      <w:r w:rsidRPr="00784C52">
        <w:t xml:space="preserve"> Otwarte standardy i </w:t>
      </w:r>
      <w:proofErr w:type="spellStart"/>
      <w:r w:rsidRPr="00784C52">
        <w:t>interoperacyjnoś</w:t>
      </w:r>
      <w:r>
        <w:t>ć</w:t>
      </w:r>
      <w:proofErr w:type="spellEnd"/>
      <w:r w:rsidRPr="00784C52">
        <w:t xml:space="preserve"> mają kluczowe znaczenie dla skutecznej konkurencji w </w:t>
      </w:r>
      <w:r>
        <w:t>teleinformatyce</w:t>
      </w:r>
      <w:r w:rsidRPr="00784C52">
        <w:t>.</w:t>
      </w:r>
    </w:p>
    <w:p w:rsidR="00AE6A92" w:rsidRDefault="00AE6A92" w:rsidP="00AE6A92">
      <w:pPr>
        <w:pBdr>
          <w:bottom w:val="single" w:sz="6" w:space="1" w:color="auto"/>
        </w:pBdr>
      </w:pPr>
    </w:p>
    <w:p w:rsidR="00AE6A92" w:rsidRDefault="00AE6A92" w:rsidP="00AE6A92"/>
    <w:p w:rsidR="00AE6A92" w:rsidRPr="00AE6A92" w:rsidRDefault="00AE6A92" w:rsidP="00AE6A92">
      <w:pPr>
        <w:autoSpaceDE w:val="0"/>
        <w:autoSpaceDN w:val="0"/>
        <w:adjustRightInd w:val="0"/>
        <w:rPr>
          <w:rFonts w:ascii="Arial" w:hAnsi="Arial" w:cs="Arial"/>
          <w:i/>
          <w:iCs/>
          <w:color w:val="1E1E1E"/>
          <w:sz w:val="18"/>
          <w:szCs w:val="23"/>
          <w:lang w:val="en-US"/>
        </w:rPr>
      </w:pPr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3.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Welche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Maßnahmen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hat die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Bundesregierung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unternommen</w:t>
      </w:r>
      <w:proofErr w:type="spellEnd"/>
      <w:r w:rsidRPr="00AE6A92">
        <w:rPr>
          <w:rFonts w:ascii="Arial" w:hAnsi="Arial" w:cs="Arial"/>
          <w:i/>
          <w:iCs/>
          <w:color w:val="494949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um die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Verbreitung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r w:rsidRPr="00AE6A92">
        <w:rPr>
          <w:rFonts w:ascii="Arial" w:hAnsi="Arial" w:cs="Arial"/>
          <w:i/>
          <w:iCs/>
          <w:color w:val="353535"/>
          <w:sz w:val="18"/>
          <w:szCs w:val="23"/>
          <w:lang w:val="en-US"/>
        </w:rPr>
        <w:t>"</w:t>
      </w:r>
      <w:proofErr w:type="spellStart"/>
      <w:r w:rsidRPr="00AE6A92">
        <w:rPr>
          <w:rFonts w:ascii="Arial" w:hAnsi="Arial" w:cs="Arial"/>
          <w:i/>
          <w:iCs/>
          <w:color w:val="353535"/>
          <w:sz w:val="18"/>
          <w:szCs w:val="23"/>
          <w:lang w:val="en-US"/>
        </w:rPr>
        <w:t>of</w:t>
      </w:r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fener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Standards" und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interoperabler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Systeme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in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Wirtschaft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und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Verwaltung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auch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auf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europäischer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Ebene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zu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fördern</w:t>
      </w:r>
      <w:proofErr w:type="spellEnd"/>
      <w:r w:rsidRPr="00AE6A92">
        <w:rPr>
          <w:rFonts w:ascii="Arial" w:hAnsi="Arial" w:cs="Arial"/>
          <w:i/>
          <w:iCs/>
          <w:color w:val="5A5A5A"/>
          <w:sz w:val="18"/>
          <w:szCs w:val="23"/>
          <w:lang w:val="en-US"/>
        </w:rPr>
        <w:t xml:space="preserve">,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wie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sie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in 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ihrer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IKT-</w:t>
      </w: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Strategie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(Deutschland Digital 2015)</w:t>
      </w:r>
    </w:p>
    <w:p w:rsidR="00AE6A92" w:rsidRPr="00AE6A92" w:rsidRDefault="00AE6A92" w:rsidP="00AE6A92">
      <w:pPr>
        <w:autoSpaceDE w:val="0"/>
        <w:autoSpaceDN w:val="0"/>
        <w:adjustRightInd w:val="0"/>
        <w:rPr>
          <w:rFonts w:ascii="Arial" w:hAnsi="Arial" w:cs="Arial"/>
          <w:i/>
          <w:iCs/>
          <w:color w:val="1E1E1E"/>
          <w:sz w:val="18"/>
          <w:szCs w:val="23"/>
          <w:lang w:val="en-US"/>
        </w:rPr>
      </w:pPr>
      <w:proofErr w:type="spellStart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>festgelegt</w:t>
      </w:r>
      <w:proofErr w:type="spellEnd"/>
      <w:r w:rsidRPr="00AE6A92">
        <w:rPr>
          <w:rFonts w:ascii="Arial" w:hAnsi="Arial" w:cs="Arial"/>
          <w:i/>
          <w:iCs/>
          <w:color w:val="1E1E1E"/>
          <w:sz w:val="18"/>
          <w:szCs w:val="23"/>
          <w:lang w:val="en-US"/>
        </w:rPr>
        <w:t xml:space="preserve"> hat?</w:t>
      </w:r>
    </w:p>
    <w:p w:rsidR="00AE6A92" w:rsidRPr="00AE6A92" w:rsidRDefault="00AE6A92" w:rsidP="00AE6A92">
      <w:pPr>
        <w:autoSpaceDE w:val="0"/>
        <w:autoSpaceDN w:val="0"/>
        <w:adjustRightInd w:val="0"/>
        <w:rPr>
          <w:rFonts w:ascii="Arial" w:hAnsi="Arial" w:cs="Arial"/>
          <w:color w:val="494949"/>
          <w:sz w:val="18"/>
          <w:szCs w:val="23"/>
          <w:lang w:val="en-US"/>
        </w:rPr>
      </w:pP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Zu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3</w:t>
      </w:r>
      <w:r w:rsidRPr="00AE6A92">
        <w:rPr>
          <w:rFonts w:ascii="Arial" w:hAnsi="Arial" w:cs="Arial"/>
          <w:color w:val="494949"/>
          <w:sz w:val="18"/>
          <w:szCs w:val="23"/>
          <w:lang w:val="en-US"/>
        </w:rPr>
        <w:t>.</w:t>
      </w:r>
    </w:p>
    <w:p w:rsidR="00AE6A92" w:rsidRPr="00AE6A92" w:rsidRDefault="00AE6A92" w:rsidP="00AE6A92">
      <w:pPr>
        <w:autoSpaceDE w:val="0"/>
        <w:autoSpaceDN w:val="0"/>
        <w:adjustRightInd w:val="0"/>
        <w:rPr>
          <w:rFonts w:ascii="Arial" w:hAnsi="Arial" w:cs="Arial"/>
          <w:color w:val="494949"/>
          <w:sz w:val="18"/>
          <w:szCs w:val="23"/>
          <w:lang w:val="en-US"/>
        </w:rPr>
      </w:pPr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Die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Bundesregierung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unterstützt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die "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Digitale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Agenda" und den "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eGovernment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Aktionsplan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2010-2015"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der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Europäischen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Kommission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.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Offene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Standards und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Interoperabilität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sind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entscheidend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für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funktionsfähigen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Wettbewerb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in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der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Informations</w:t>
      </w:r>
      <w:proofErr w:type="spellEnd"/>
      <w:r w:rsidRPr="00AE6A92">
        <w:rPr>
          <w:rFonts w:ascii="Arial" w:hAnsi="Arial" w:cs="Arial"/>
          <w:color w:val="1E1E1E"/>
          <w:sz w:val="18"/>
          <w:szCs w:val="23"/>
          <w:lang w:val="en-US"/>
        </w:rPr>
        <w:t xml:space="preserve">- und </w:t>
      </w:r>
      <w:proofErr w:type="spellStart"/>
      <w:r w:rsidRPr="00AE6A92">
        <w:rPr>
          <w:rFonts w:ascii="Arial" w:hAnsi="Arial" w:cs="Arial"/>
          <w:color w:val="1E1E1E"/>
          <w:sz w:val="18"/>
          <w:szCs w:val="23"/>
          <w:lang w:val="en-US"/>
        </w:rPr>
        <w:t>Kommunikationstechnik</w:t>
      </w:r>
      <w:proofErr w:type="spellEnd"/>
      <w:r w:rsidRPr="00AE6A92">
        <w:rPr>
          <w:rFonts w:ascii="Arial" w:hAnsi="Arial" w:cs="Arial"/>
          <w:color w:val="494949"/>
          <w:sz w:val="18"/>
          <w:szCs w:val="23"/>
          <w:lang w:val="en-US"/>
        </w:rPr>
        <w:t>.</w:t>
      </w:r>
    </w:p>
    <w:p w:rsidR="00AE6A92" w:rsidRPr="00784C52" w:rsidRDefault="00AE6A92" w:rsidP="00AE6A92">
      <w:pPr>
        <w:rPr>
          <w:lang w:val="en-US"/>
        </w:rPr>
      </w:pPr>
    </w:p>
    <w:p w:rsidR="00912559" w:rsidRPr="00AE6A92" w:rsidRDefault="00912559" w:rsidP="00912559">
      <w:pPr>
        <w:pStyle w:val="Zwykytekst"/>
        <w:rPr>
          <w:lang w:val="en-US"/>
        </w:rPr>
      </w:pPr>
    </w:p>
    <w:p w:rsidR="00912559" w:rsidRDefault="00912559" w:rsidP="00912559">
      <w:pPr>
        <w:pStyle w:val="Zwykytekst"/>
        <w:rPr>
          <w:b/>
          <w:bCs/>
        </w:rPr>
      </w:pPr>
      <w:r>
        <w:rPr>
          <w:b/>
          <w:bCs/>
        </w:rPr>
        <w:lastRenderedPageBreak/>
        <w:t>2. Standardy dające możliwość odczytywania maszynowego (uwaga p.Igora Ostrowskiego)</w:t>
      </w:r>
    </w:p>
    <w:p w:rsidR="00912559" w:rsidRDefault="00912559" w:rsidP="00912559">
      <w:pPr>
        <w:pStyle w:val="Zwykytekst"/>
        <w:rPr>
          <w:b/>
          <w:bCs/>
        </w:rPr>
      </w:pPr>
    </w:p>
    <w:p w:rsidR="00912559" w:rsidRDefault="00912559" w:rsidP="00C370B0">
      <w:pPr>
        <w:pStyle w:val="Zwykytekst"/>
        <w:spacing w:after="120"/>
      </w:pPr>
      <w:r>
        <w:t>Jak dobrze rozumiemy chodzi o takie formaty dokumentów, które mogłyby się automatycznie wczytywać do systemu/aplikacji odbiorcy.</w:t>
      </w:r>
    </w:p>
    <w:p w:rsidR="00912559" w:rsidRDefault="00912559" w:rsidP="00C370B0">
      <w:pPr>
        <w:pStyle w:val="Zwykytekst"/>
        <w:spacing w:after="120"/>
      </w:pPr>
      <w:r>
        <w:t>Zalecamy maksymalnie posunięto praktyczność i pragmatykę działania. Jest to zgodne z zaleceniami EIF 2.0. Kiedy informatycy z dwóch miejsc mających wymieniać się danymi będą chcieli – to się umówią na odpowiedni np. format XML. Jak trzeba będzie przesłać dobrze określony dokument od obywatela do systemu – to skorzysta się z formatki XML-owej dostępnej na ePUAPie (lub jakkolwiek inaczej)</w:t>
      </w:r>
    </w:p>
    <w:p w:rsidR="00912559" w:rsidRDefault="00912559" w:rsidP="00C370B0">
      <w:pPr>
        <w:pStyle w:val="Zwykytekst"/>
        <w:spacing w:after="120"/>
      </w:pPr>
      <w:r>
        <w:t>Dwa dodatkowe komentarze:</w:t>
      </w:r>
    </w:p>
    <w:p w:rsidR="00912559" w:rsidRDefault="00912559" w:rsidP="00C370B0">
      <w:pPr>
        <w:pStyle w:val="Zwykytekst"/>
        <w:numPr>
          <w:ilvl w:val="0"/>
          <w:numId w:val="1"/>
        </w:numPr>
        <w:spacing w:after="120"/>
      </w:pPr>
      <w:r>
        <w:rPr>
          <w:u w:val="single"/>
        </w:rPr>
        <w:t>PIIT proponował rekomendację takich formatów dokumentów, które mają w standardzie opis umieszczenia podpisu</w:t>
      </w:r>
      <w:r>
        <w:t xml:space="preserve"> elektronicznego – ponieważ dzięki temu system odbiorcy nie tylko mógłby prawidłowo pobrać dokument, ale także móc łatwo zweryfikować jego wiarygodność. </w:t>
      </w:r>
      <w:r>
        <w:br/>
        <w:t>Poprawkę odrzucono podczas konferencji uzgodnieniowej uznając, że takie rekomendacje mogą być jednak przedwczesne.</w:t>
      </w:r>
    </w:p>
    <w:p w:rsidR="00912559" w:rsidRDefault="00912559" w:rsidP="00C370B0">
      <w:pPr>
        <w:pStyle w:val="Zwykytekst"/>
        <w:numPr>
          <w:ilvl w:val="0"/>
          <w:numId w:val="1"/>
        </w:numPr>
        <w:spacing w:after="120"/>
      </w:pPr>
      <w:r>
        <w:t>Podobny problem napotkali w praktyce Niemcy. Przykład pokazuje, że nawet mając (a) określony dobrze format i (b) tę samą aplikację – natrafiamy na problemy!!! Niemieckie MSZ na tym poległo.</w:t>
      </w:r>
    </w:p>
    <w:p w:rsidR="00C370B0" w:rsidRDefault="00912559" w:rsidP="009B23E2">
      <w:pPr>
        <w:spacing w:after="120"/>
      </w:pPr>
      <w:r>
        <w:t>Po kilku latach prób wdrożenia Linuksa w swojej infrastrukturze niemieckie Ministerstwo Spraw Zagranicznych całkowicie zrezygnowało z kontynuowania tego projektu i wróciło do arch</w:t>
      </w:r>
      <w:r w:rsidR="00C370B0">
        <w:t xml:space="preserve">itektury bazującej na Windows. </w:t>
      </w:r>
    </w:p>
    <w:p w:rsidR="00912559" w:rsidRDefault="00912559" w:rsidP="009B23E2">
      <w:pPr>
        <w:spacing w:after="120"/>
      </w:pPr>
      <w:r>
        <w:t>Spowodowało to reakcję Partii Zielonych, które poprzez swojego przedstawiciela dr Konstantina von Notza skierowało kilkadziesiąt pytań do federalnego MSW, które koordynuje – tak jak w Polsce – działania informatyzacji.</w:t>
      </w:r>
    </w:p>
    <w:p w:rsidR="00912559" w:rsidRDefault="00912559" w:rsidP="009B23E2">
      <w:pPr>
        <w:spacing w:after="120"/>
        <w:ind w:left="11" w:hanging="12"/>
      </w:pPr>
      <w:r>
        <w:t>3 maja br została wysłana odpowiedź, która z datą przyjęcia 6 maja została umieszczona na stronach dr von Notza.</w:t>
      </w:r>
    </w:p>
    <w:p w:rsidR="00912559" w:rsidRDefault="00154C84" w:rsidP="009B23E2">
      <w:pPr>
        <w:spacing w:after="120"/>
        <w:ind w:firstLine="708"/>
      </w:pPr>
      <w:hyperlink r:id="rId8" w:history="1">
        <w:r w:rsidR="00912559">
          <w:rPr>
            <w:rStyle w:val="Hipercze"/>
          </w:rPr>
          <w:t>http://www.von-notz.de/downloads/antwort-ka_bmi_quelloffene-software-aa_03-05-2.pdf</w:t>
        </w:r>
      </w:hyperlink>
      <w:r w:rsidR="00912559">
        <w:t xml:space="preserve"> </w:t>
      </w:r>
    </w:p>
    <w:p w:rsidR="00912559" w:rsidRDefault="00912559" w:rsidP="009B23E2">
      <w:pPr>
        <w:spacing w:after="120"/>
        <w:ind w:firstLine="708"/>
      </w:pPr>
      <w:r>
        <w:t>Jeden z punktów dotyczył dyskutowanego także i u nas formatu ODF.</w:t>
      </w:r>
    </w:p>
    <w:p w:rsidR="00912559" w:rsidRDefault="00912559" w:rsidP="009B23E2">
      <w:pPr>
        <w:spacing w:after="120"/>
        <w:ind w:firstLine="708"/>
      </w:pPr>
      <w:r>
        <w:t xml:space="preserve">Tłumaczenie może nie jest najdoskonalsze, ale oddaje to co przekazało MSW federalne. </w:t>
      </w:r>
    </w:p>
    <w:p w:rsidR="00912559" w:rsidRDefault="00912559" w:rsidP="009B23E2">
      <w:pPr>
        <w:spacing w:after="120"/>
        <w:ind w:firstLine="708"/>
      </w:pPr>
      <w:r>
        <w:t>Poniżej zamieszczamy także oryginał omawianego punktu 20-go.</w:t>
      </w:r>
    </w:p>
    <w:p w:rsidR="00912559" w:rsidRDefault="00912559" w:rsidP="009B23E2">
      <w:pPr>
        <w:spacing w:after="120"/>
      </w:pPr>
      <w:r>
        <w:rPr>
          <w:i/>
          <w:iCs/>
        </w:rPr>
        <w:t>20. Dlaczego ciągle występują okreslone problemy interoperacyjności w procesie wymiany dokumentów tekstowych pomiędzy Ministerstwem Spraw Zagranicznych a innymi urzędami federalnymi, chociaż decyzją Rady ds IT nr 11/2008 Open Document Format (ODF) winien być przez urzędy federalne przyjmowany, obrabiany i wysyłany?</w:t>
      </w:r>
    </w:p>
    <w:p w:rsidR="00912559" w:rsidRDefault="00912559" w:rsidP="009B23E2">
      <w:pPr>
        <w:spacing w:after="120"/>
        <w:rPr>
          <w:i/>
          <w:iCs/>
        </w:rPr>
      </w:pPr>
      <w:r>
        <w:rPr>
          <w:i/>
          <w:iCs/>
        </w:rPr>
        <w:t>Ad 20.</w:t>
      </w:r>
    </w:p>
    <w:p w:rsidR="00912559" w:rsidRDefault="00912559" w:rsidP="009B23E2">
      <w:pPr>
        <w:spacing w:after="120"/>
        <w:rPr>
          <w:i/>
          <w:iCs/>
        </w:rPr>
      </w:pPr>
      <w:r>
        <w:rPr>
          <w:i/>
          <w:iCs/>
        </w:rPr>
        <w:t xml:space="preserve">Infrastruktura Ministerstwa Spraw Zagranicznych jest przygotowana do przyjmowania, obróbki i odsyłania dokumentów w formacie ODF zgodnie z decyzją Rady nr 11/2008. Zapewnienie obowiązkowego stosowania standardów oprogramowania winno być wystarczające dla zapewnienia interoperacyjności pomiędzy różnymi urzędami. Jednak różnorodne implementacje standardu ODF (np. kOffice, LibreOffice, OpenOffice.org, StarOffice, NeoOffice, itp.) uzupełniają ten standard o cechy specyficzne dla danej aplikacji co wymaga stosowania przez obie strony tego samego oprogramowania, nawet aż do poziomu tej samej wersji. Nie jest rzadkim przypadkiem, że dokument u autora i u odbiorcy odbiegają od siebie w sposób nie zapewniający czytelności. Funkcje pracy grupowej takie jak np. praca wspólna nad dokumentem są w różnych implementacjach niekompletne lub niedostępne. Ministerstwo Spraw Zagranicznych i jego placówki winny wykonywać zadania </w:t>
      </w:r>
      <w:r>
        <w:rPr>
          <w:i/>
          <w:iCs/>
        </w:rPr>
        <w:lastRenderedPageBreak/>
        <w:t>komunikacji z wieloma krajowymi i międzynarodowymi instytucjami, urzędami i przedsiębiorstwami w szybki, sprawny i prosty sposób. Ze względu na różnorodność stosowanych na świecie formatów dokumentów prócz formatu ODF muszą być wspierane także inne własnościowe formaty, a w szczególności bardzo rozpowszechnione formaty binarne Microsoftu.</w:t>
      </w:r>
    </w:p>
    <w:p w:rsidR="00912559" w:rsidRDefault="00912559" w:rsidP="00912559">
      <w:pPr>
        <w:ind w:left="720"/>
      </w:pPr>
    </w:p>
    <w:p w:rsidR="00912559" w:rsidRPr="00AE6A92" w:rsidRDefault="00912559" w:rsidP="00C370B0">
      <w:pPr>
        <w:autoSpaceDE w:val="0"/>
        <w:autoSpaceDN w:val="0"/>
        <w:rPr>
          <w:rFonts w:ascii="Arial" w:hAnsi="Arial" w:cs="Arial"/>
          <w:i/>
          <w:iCs/>
          <w:color w:val="1F1F1F"/>
          <w:sz w:val="18"/>
          <w:szCs w:val="23"/>
        </w:rPr>
      </w:pPr>
      <w:r w:rsidRPr="00AE6A92">
        <w:rPr>
          <w:rFonts w:ascii="Arial" w:hAnsi="Arial" w:cs="Arial"/>
          <w:i/>
          <w:iCs/>
          <w:color w:val="1F1F1F"/>
          <w:sz w:val="18"/>
          <w:szCs w:val="23"/>
        </w:rPr>
        <w:t>20. Warum gab es</w:t>
      </w:r>
      <w:r w:rsidRPr="00AE6A92">
        <w:rPr>
          <w:rFonts w:ascii="Arial" w:hAnsi="Arial" w:cs="Arial"/>
          <w:i/>
          <w:iCs/>
          <w:color w:val="4D4D4D"/>
          <w:sz w:val="18"/>
          <w:szCs w:val="23"/>
        </w:rPr>
        <w:t xml:space="preserve">, </w:t>
      </w:r>
      <w:r w:rsidRPr="00AE6A92">
        <w:rPr>
          <w:rFonts w:ascii="Arial" w:hAnsi="Arial" w:cs="Arial"/>
          <w:i/>
          <w:iCs/>
          <w:color w:val="1F1F1F"/>
          <w:sz w:val="18"/>
          <w:szCs w:val="23"/>
        </w:rPr>
        <w:t>obwohl Bundesbehörden nach IT-Ratsbeschluss Nr. 11/2008 Open Document Format-Dokumente (ODF) empfangen</w:t>
      </w:r>
      <w:r w:rsidRPr="00AE6A92">
        <w:rPr>
          <w:rFonts w:ascii="Arial" w:hAnsi="Arial" w:cs="Arial"/>
          <w:i/>
          <w:iCs/>
          <w:color w:val="4D4D4D"/>
          <w:sz w:val="18"/>
          <w:szCs w:val="23"/>
        </w:rPr>
        <w:t xml:space="preserve">, </w:t>
      </w:r>
      <w:r w:rsidRPr="00AE6A92">
        <w:rPr>
          <w:rFonts w:ascii="Arial" w:hAnsi="Arial" w:cs="Arial"/>
          <w:i/>
          <w:iCs/>
          <w:color w:val="1F1F1F"/>
          <w:sz w:val="18"/>
          <w:szCs w:val="23"/>
        </w:rPr>
        <w:t>bearbeiten und zurückschicken können müssen</w:t>
      </w:r>
      <w:r w:rsidRPr="00AE6A92">
        <w:rPr>
          <w:rFonts w:ascii="Arial" w:hAnsi="Arial" w:cs="Arial"/>
          <w:i/>
          <w:iCs/>
          <w:color w:val="3E3E3E"/>
          <w:sz w:val="18"/>
          <w:szCs w:val="23"/>
        </w:rPr>
        <w:t xml:space="preserve">, </w:t>
      </w:r>
      <w:r w:rsidRPr="00AE6A92">
        <w:rPr>
          <w:rFonts w:ascii="Arial" w:hAnsi="Arial" w:cs="Arial"/>
          <w:i/>
          <w:iCs/>
          <w:color w:val="1F1F1F"/>
          <w:sz w:val="18"/>
          <w:szCs w:val="23"/>
        </w:rPr>
        <w:t>dennoch die benannten Interoperabilitätsprobleme im Austausch von Textverarbeitungs-Dokumenten zwischen dem Auswärtigen Amt und anderen Bundesbehörden?</w:t>
      </w:r>
    </w:p>
    <w:p w:rsidR="00912559" w:rsidRPr="00AE6A92" w:rsidRDefault="00912559" w:rsidP="00C370B0">
      <w:pPr>
        <w:autoSpaceDE w:val="0"/>
        <w:autoSpaceDN w:val="0"/>
        <w:rPr>
          <w:rFonts w:ascii="Arial" w:hAnsi="Arial" w:cs="Arial"/>
          <w:color w:val="1F1F1F"/>
          <w:sz w:val="18"/>
          <w:szCs w:val="23"/>
        </w:rPr>
      </w:pPr>
    </w:p>
    <w:p w:rsidR="00912559" w:rsidRPr="00AE6A92" w:rsidRDefault="00912559" w:rsidP="00C370B0">
      <w:pPr>
        <w:autoSpaceDE w:val="0"/>
        <w:autoSpaceDN w:val="0"/>
        <w:rPr>
          <w:rFonts w:ascii="Arial" w:hAnsi="Arial" w:cs="Arial"/>
          <w:color w:val="3E3E3E"/>
          <w:sz w:val="18"/>
          <w:szCs w:val="23"/>
          <w:lang w:val="en-US"/>
        </w:rPr>
      </w:pPr>
      <w:r w:rsidRPr="00AE6A92">
        <w:rPr>
          <w:rFonts w:ascii="Arial" w:hAnsi="Arial" w:cs="Arial"/>
          <w:color w:val="1F1F1F"/>
          <w:sz w:val="18"/>
          <w:szCs w:val="23"/>
          <w:lang w:val="en-US"/>
        </w:rPr>
        <w:t>Zu 20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>.</w:t>
      </w:r>
    </w:p>
    <w:p w:rsidR="00912559" w:rsidRPr="00AE6A92" w:rsidRDefault="00912559" w:rsidP="00C370B0">
      <w:pPr>
        <w:autoSpaceDE w:val="0"/>
        <w:autoSpaceDN w:val="0"/>
        <w:rPr>
          <w:sz w:val="16"/>
          <w:lang w:val="en-US"/>
        </w:rPr>
      </w:pPr>
      <w:r w:rsidRPr="00AE6A92">
        <w:rPr>
          <w:rFonts w:ascii="Arial" w:hAnsi="Arial" w:cs="Arial"/>
          <w:color w:val="1F1F1F"/>
          <w:sz w:val="18"/>
          <w:szCs w:val="23"/>
          <w:lang w:val="en-US"/>
        </w:rPr>
        <w:t>Die Anwendungsinfrastruktur des Auswärt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>i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gen Amts gewährleistet den Empfang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die Bearbeitung und den Weiterversand von ODF-Dokumenten gemäß Beschluss des Rates der IT-Beauftragten Nr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11/2008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Die Sicherstellung der verbindlichen Nutzung eines Softwarestandards allein gewährleistet jedoch noch keine durchgängige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behördenübergreifende Interoperabilität. Die verschiedenen Implementationen des ODF-Standards (z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B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kOffice, LibreOffice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OpenOffice.org, StarOffice, NeoOffice, etc.) ergänzen den Standard um produktspezifische Merkmale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deren identische Abbildung beim Empfänger solcher Dokumente den Einsatz des Erstellerproduktes - zudem in der gleichen Version - voraussetzt. Ist dies nicht der Fall, weicht die Darstellung des Autors von der Darstellung des Empfängers ab – sofern die Lesbarkeit überhaupt gewährleistet werden kann. Dringend erforderliche Kollaborationsfunktionen wie z.B. der Überarbeitungsmodus werden durch die verschiedenen Implementationen mangelhaft oder gar nicht angeboten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Das Auswärtige Amt und seine Auslandsvertretungen sind zur Wahrnehmung ihrer Aufgaben auf eine schnelle, reibungslose und möglichst unkomplizierte Kommun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>i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kation mit einer Vielzahl nationaler und internationaler Behörden</w:t>
      </w:r>
      <w:r w:rsidRPr="00AE6A92">
        <w:rPr>
          <w:rFonts w:ascii="Arial" w:hAnsi="Arial" w:cs="Arial"/>
          <w:color w:val="4D4D4D"/>
          <w:sz w:val="18"/>
          <w:szCs w:val="23"/>
          <w:lang w:val="en-US"/>
        </w:rPr>
        <w:t xml:space="preserve">,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Organisationen und Unternehmen angewiesen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.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 xml:space="preserve">Wegen der Heterogenität der unterschiedlichen weltweit eingesetzten Dokumentenformate - insbesondere auch die nach wie vor sehr verbreiteten Microsoft Binär-Formate 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 xml:space="preserve">- </w:t>
      </w:r>
      <w:r w:rsidRPr="00AE6A92">
        <w:rPr>
          <w:rFonts w:ascii="Arial" w:hAnsi="Arial" w:cs="Arial"/>
          <w:color w:val="1F1F1F"/>
          <w:sz w:val="18"/>
          <w:szCs w:val="23"/>
          <w:lang w:val="en-US"/>
        </w:rPr>
        <w:t>werden neben dem ODF-Format auch weiterhin proprietäre Dokumentenformate unterstützt werden müssen</w:t>
      </w:r>
      <w:r w:rsidRPr="00AE6A92">
        <w:rPr>
          <w:rFonts w:ascii="Arial" w:hAnsi="Arial" w:cs="Arial"/>
          <w:color w:val="3E3E3E"/>
          <w:sz w:val="18"/>
          <w:szCs w:val="23"/>
          <w:lang w:val="en-US"/>
        </w:rPr>
        <w:t>.</w:t>
      </w:r>
    </w:p>
    <w:p w:rsidR="00912559" w:rsidRPr="00912559" w:rsidRDefault="00912559" w:rsidP="00912559">
      <w:pPr>
        <w:pStyle w:val="Zwykytekst"/>
        <w:ind w:left="720"/>
        <w:rPr>
          <w:lang w:val="en-US"/>
        </w:rPr>
      </w:pPr>
    </w:p>
    <w:p w:rsidR="00912559" w:rsidRPr="00912559" w:rsidRDefault="00912559" w:rsidP="00912559">
      <w:pPr>
        <w:pStyle w:val="Zwykytekst"/>
        <w:rPr>
          <w:lang w:val="en-US"/>
        </w:rPr>
      </w:pPr>
    </w:p>
    <w:p w:rsidR="00912559" w:rsidRDefault="00116296" w:rsidP="00116296">
      <w:pPr>
        <w:pStyle w:val="Zwykytek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912559">
        <w:rPr>
          <w:b/>
          <w:bCs/>
        </w:rPr>
        <w:t>ałącznik nr 2 przepisany z poprzedniej wersji (uwaga p. Igora Ostrowskiego)</w:t>
      </w:r>
    </w:p>
    <w:p w:rsidR="00912559" w:rsidRDefault="00912559" w:rsidP="00912559">
      <w:pPr>
        <w:pStyle w:val="Zwykytekst"/>
      </w:pPr>
    </w:p>
    <w:p w:rsidR="00912559" w:rsidRPr="00116296" w:rsidRDefault="00912559" w:rsidP="00C370B0">
      <w:pPr>
        <w:pStyle w:val="Zwykytekst"/>
        <w:spacing w:after="120"/>
        <w:rPr>
          <w:rFonts w:asciiTheme="minorHAnsi" w:hAnsiTheme="minorHAnsi" w:cstheme="minorHAnsi"/>
        </w:rPr>
      </w:pPr>
      <w:r w:rsidRPr="00912559">
        <w:rPr>
          <w:rFonts w:asciiTheme="minorHAnsi" w:hAnsiTheme="minorHAnsi" w:cstheme="minorHAnsi"/>
        </w:rPr>
        <w:t>Bardzo dobrze</w:t>
      </w:r>
      <w:r w:rsidR="00116296">
        <w:rPr>
          <w:rFonts w:asciiTheme="minorHAnsi" w:hAnsiTheme="minorHAnsi" w:cstheme="minorHAnsi"/>
        </w:rPr>
        <w:t>, że tak się stało</w:t>
      </w:r>
      <w:r w:rsidRPr="00912559">
        <w:rPr>
          <w:rFonts w:asciiTheme="minorHAnsi" w:hAnsiTheme="minorHAnsi" w:cstheme="minorHAnsi"/>
        </w:rPr>
        <w:t>!!!</w:t>
      </w:r>
    </w:p>
    <w:p w:rsidR="00912559" w:rsidRPr="00912559" w:rsidRDefault="00912559" w:rsidP="00C370B0">
      <w:pPr>
        <w:pStyle w:val="Zwykytekst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>Jest bowiem zalecenie zapewnienia trwałości interoperacyjności (</w:t>
      </w:r>
      <w:r w:rsidRPr="00116296">
        <w:rPr>
          <w:rFonts w:asciiTheme="minorHAnsi" w:hAnsiTheme="minorHAnsi" w:cstheme="minorHAnsi"/>
          <w:b/>
          <w:bCs/>
        </w:rPr>
        <w:t>zalecenie 24 EIF</w:t>
      </w:r>
      <w:r w:rsidRPr="00116296">
        <w:rPr>
          <w:rFonts w:asciiTheme="minorHAnsi" w:hAnsiTheme="minorHAnsi" w:cstheme="minorHAnsi"/>
        </w:rPr>
        <w:t xml:space="preserve">). </w:t>
      </w:r>
      <w:r w:rsidRPr="00912559">
        <w:rPr>
          <w:rFonts w:asciiTheme="minorHAnsi" w:hAnsiTheme="minorHAnsi" w:cstheme="minorHAnsi"/>
        </w:rPr>
        <w:t>Od października 2005 roku, od wdrożenia pierwszej wersji rozporządzenia o minimalnych wymaganiach dla systemów teleinformatycznych administracja polska poniosła ogromne koszty związane z przystosowaniem się do zasad interoperacyjności na poziomie technicznym.</w:t>
      </w:r>
    </w:p>
    <w:p w:rsidR="00912559" w:rsidRPr="00912559" w:rsidRDefault="00912559" w:rsidP="00C370B0">
      <w:pPr>
        <w:pStyle w:val="Zwykytekst"/>
        <w:spacing w:after="120"/>
        <w:rPr>
          <w:rFonts w:asciiTheme="minorHAnsi" w:hAnsiTheme="minorHAnsi" w:cstheme="minorHAnsi"/>
        </w:rPr>
      </w:pPr>
      <w:r w:rsidRPr="00912559">
        <w:rPr>
          <w:rFonts w:asciiTheme="minorHAnsi" w:hAnsiTheme="minorHAnsi" w:cstheme="minorHAnsi"/>
        </w:rPr>
        <w:t xml:space="preserve">Tak oczywiście nie jest dokładnie powiedziane jaki standard wykorzystywać, bo wszyscy zobligowani do stosowania KRI muszą mieć wybór spośród kilku standardów </w:t>
      </w:r>
      <w:r w:rsidRPr="00116296">
        <w:rPr>
          <w:rFonts w:asciiTheme="minorHAnsi" w:hAnsiTheme="minorHAnsi" w:cstheme="minorHAnsi"/>
        </w:rPr>
        <w:t>(</w:t>
      </w:r>
      <w:r w:rsidRPr="00116296">
        <w:rPr>
          <w:rFonts w:asciiTheme="minorHAnsi" w:hAnsiTheme="minorHAnsi" w:cstheme="minorHAnsi"/>
          <w:b/>
          <w:bCs/>
        </w:rPr>
        <w:t>zasada skuteczności i wydajności –</w:t>
      </w:r>
      <w:r w:rsidR="00116296">
        <w:rPr>
          <w:rFonts w:asciiTheme="minorHAnsi" w:hAnsiTheme="minorHAnsi" w:cstheme="minorHAnsi"/>
          <w:b/>
          <w:bCs/>
        </w:rPr>
        <w:t xml:space="preserve">ponownie </w:t>
      </w:r>
      <w:r w:rsidRPr="00116296">
        <w:rPr>
          <w:rFonts w:asciiTheme="minorHAnsi" w:hAnsiTheme="minorHAnsi" w:cstheme="minorHAnsi"/>
          <w:b/>
          <w:bCs/>
        </w:rPr>
        <w:t>zapis EIF</w:t>
      </w:r>
      <w:r w:rsidRPr="00116296">
        <w:rPr>
          <w:rFonts w:asciiTheme="minorHAnsi" w:hAnsiTheme="minorHAnsi" w:cstheme="minorHAnsi"/>
        </w:rPr>
        <w:t xml:space="preserve">). Pierwszym kryterium jest różnorodność zastosowań </w:t>
      </w:r>
      <w:r w:rsidRPr="00912559">
        <w:rPr>
          <w:rFonts w:asciiTheme="minorHAnsi" w:hAnsiTheme="minorHAnsi" w:cstheme="minorHAnsi"/>
        </w:rPr>
        <w:t>i możliwość dopasowania konkretnego formatu do konkretnego celu. Wynika to także z braku chęci narzucania komukolwiek rozwiązań technicznych lub eliminowaniu niektórych technologii (patrz: interoperacyjność i neutralność technologiczna opisana w ustawie – patrz niżej, podkreślenia moje). Oraz ponownie z praktycznego podejścia do zagadnienia interoperacyjności</w:t>
      </w:r>
    </w:p>
    <w:p w:rsidR="00912559" w:rsidRPr="00912559" w:rsidRDefault="00912559" w:rsidP="00C370B0">
      <w:pPr>
        <w:autoSpaceDE w:val="0"/>
        <w:autoSpaceDN w:val="0"/>
        <w:spacing w:after="120"/>
        <w:ind w:left="708"/>
        <w:rPr>
          <w:rFonts w:asciiTheme="minorHAnsi" w:hAnsiTheme="minorHAnsi" w:cstheme="minorHAnsi"/>
          <w:i/>
          <w:iCs/>
        </w:rPr>
      </w:pPr>
      <w:r w:rsidRPr="00912559">
        <w:rPr>
          <w:rFonts w:asciiTheme="minorHAnsi" w:hAnsiTheme="minorHAnsi" w:cstheme="minorHAnsi"/>
          <w:i/>
          <w:iCs/>
        </w:rPr>
        <w:t xml:space="preserve">18) interoperacyjność - zdolność różnych podmiotów oraz używanych przez nie systemów teleinformatycznych i rejestrów publicznych do współdziałania na </w:t>
      </w:r>
      <w:r w:rsidRPr="00116296">
        <w:rPr>
          <w:rFonts w:asciiTheme="minorHAnsi" w:hAnsiTheme="minorHAnsi" w:cstheme="minorHAnsi"/>
          <w:i/>
          <w:iCs/>
        </w:rPr>
        <w:t xml:space="preserve">rzecz </w:t>
      </w:r>
      <w:r w:rsidRPr="00116296">
        <w:rPr>
          <w:rFonts w:asciiTheme="minorHAnsi" w:hAnsiTheme="minorHAnsi" w:cstheme="minorHAnsi"/>
          <w:i/>
          <w:iCs/>
          <w:u w:val="single"/>
        </w:rPr>
        <w:t>osiągnięcia wzajemnie korzystnych i uzgodnionych celów</w:t>
      </w:r>
      <w:r w:rsidRPr="00116296">
        <w:rPr>
          <w:rFonts w:asciiTheme="minorHAnsi" w:hAnsiTheme="minorHAnsi" w:cstheme="minorHAnsi"/>
          <w:i/>
          <w:iCs/>
        </w:rPr>
        <w:t xml:space="preserve">, z uwzględnieniem współdzielenia informacji </w:t>
      </w:r>
      <w:r w:rsidRPr="00912559">
        <w:rPr>
          <w:rFonts w:asciiTheme="minorHAnsi" w:hAnsiTheme="minorHAnsi" w:cstheme="minorHAnsi"/>
          <w:i/>
          <w:iCs/>
        </w:rPr>
        <w:t>i wiedzy przez wspierane przez nie procesy biznesowe realizowane za pomocą wymiany danych za pośrednictwem wykorzystywanych przez te podmioty systemów teleinformatycznych;</w:t>
      </w:r>
    </w:p>
    <w:p w:rsidR="00912559" w:rsidRPr="00912559" w:rsidRDefault="00912559" w:rsidP="00C370B0">
      <w:pPr>
        <w:autoSpaceDE w:val="0"/>
        <w:autoSpaceDN w:val="0"/>
        <w:spacing w:after="120"/>
        <w:ind w:left="708"/>
        <w:rPr>
          <w:rFonts w:asciiTheme="minorHAnsi" w:hAnsiTheme="minorHAnsi" w:cstheme="minorHAnsi"/>
          <w:i/>
          <w:iCs/>
        </w:rPr>
      </w:pPr>
      <w:r w:rsidRPr="00912559">
        <w:rPr>
          <w:rFonts w:asciiTheme="minorHAnsi" w:hAnsiTheme="minorHAnsi" w:cstheme="minorHAnsi"/>
          <w:i/>
          <w:iCs/>
        </w:rPr>
        <w:t xml:space="preserve">19) neutralność technologiczna - zasada równego traktowania przez władze </w:t>
      </w:r>
      <w:r w:rsidRPr="00116296">
        <w:rPr>
          <w:rFonts w:asciiTheme="minorHAnsi" w:hAnsiTheme="minorHAnsi" w:cstheme="minorHAnsi"/>
          <w:i/>
          <w:iCs/>
        </w:rPr>
        <w:t xml:space="preserve">publiczne technologii teleinformatycznych i tworzenia warunków do ich uczciwej konkurencji, w tym </w:t>
      </w:r>
      <w:r w:rsidRPr="00116296">
        <w:rPr>
          <w:rFonts w:asciiTheme="minorHAnsi" w:hAnsiTheme="minorHAnsi" w:cstheme="minorHAnsi"/>
          <w:i/>
          <w:iCs/>
          <w:u w:val="single"/>
        </w:rPr>
        <w:t>zapobiegania możliwości eliminacji technologii konkurencyjnych</w:t>
      </w:r>
      <w:r w:rsidRPr="00116296">
        <w:rPr>
          <w:rFonts w:asciiTheme="minorHAnsi" w:hAnsiTheme="minorHAnsi" w:cstheme="minorHAnsi"/>
          <w:i/>
          <w:iCs/>
        </w:rPr>
        <w:t xml:space="preserve"> przy rozbudowie i modyfikacji </w:t>
      </w:r>
      <w:r w:rsidRPr="00912559">
        <w:rPr>
          <w:rFonts w:asciiTheme="minorHAnsi" w:hAnsiTheme="minorHAnsi" w:cstheme="minorHAnsi"/>
          <w:i/>
          <w:iCs/>
        </w:rPr>
        <w:t>eksploatowanych systemów teleinformatycznych lub przy tworzeniu konkurencyjnych produktów i rozwiązań;</w:t>
      </w:r>
    </w:p>
    <w:p w:rsidR="00912559" w:rsidRDefault="00912559" w:rsidP="00912559">
      <w:pPr>
        <w:pStyle w:val="Zwykytekst"/>
      </w:pPr>
    </w:p>
    <w:p w:rsidR="00AE6A92" w:rsidRDefault="00AE6A92" w:rsidP="00912559">
      <w:pPr>
        <w:pStyle w:val="Zwykytekst"/>
      </w:pPr>
    </w:p>
    <w:p w:rsidR="00912559" w:rsidRDefault="00116296" w:rsidP="00116296">
      <w:pPr>
        <w:pStyle w:val="Zwykytekst"/>
        <w:numPr>
          <w:ilvl w:val="0"/>
          <w:numId w:val="1"/>
        </w:numPr>
        <w:rPr>
          <w:b/>
          <w:bCs/>
        </w:rPr>
      </w:pPr>
      <w:bookmarkStart w:id="0" w:name="_MailEndCompose"/>
      <w:r>
        <w:rPr>
          <w:b/>
          <w:bCs/>
        </w:rPr>
        <w:lastRenderedPageBreak/>
        <w:t>N</w:t>
      </w:r>
      <w:r w:rsidR="00912559">
        <w:rPr>
          <w:b/>
          <w:bCs/>
        </w:rPr>
        <w:t>ie wiadomo czy SQL konwertować do CSV itd</w:t>
      </w:r>
      <w:bookmarkEnd w:id="0"/>
      <w:r>
        <w:rPr>
          <w:b/>
          <w:bCs/>
        </w:rPr>
        <w:t>. (uwaga p. Ostrowskiego)</w:t>
      </w:r>
    </w:p>
    <w:p w:rsidR="00116296" w:rsidRDefault="00116296" w:rsidP="00116296">
      <w:pPr>
        <w:pStyle w:val="Zwykytekst"/>
        <w:ind w:left="720"/>
        <w:rPr>
          <w:b/>
          <w:bCs/>
        </w:rPr>
      </w:pPr>
    </w:p>
    <w:p w:rsidR="00912559" w:rsidRDefault="00912559" w:rsidP="009B23E2">
      <w:pPr>
        <w:pStyle w:val="Zwykytekst"/>
        <w:spacing w:after="120"/>
      </w:pPr>
      <w:r>
        <w:t>Tak, nie wiadomo. Być może przy wymianie danych pomiędzy systemem A i systemem B trzeba będzie konwertować, a pomiędzy systemem A i systemem C – już nie.</w:t>
      </w:r>
    </w:p>
    <w:p w:rsidR="00912559" w:rsidRDefault="00912559" w:rsidP="009B23E2">
      <w:pPr>
        <w:pStyle w:val="Zwykytekst"/>
        <w:spacing w:after="120"/>
      </w:pPr>
      <w:r>
        <w:t>I nie próbujmy tego wyregulować.</w:t>
      </w:r>
      <w:r w:rsidR="00C370B0">
        <w:t xml:space="preserve"> </w:t>
      </w:r>
    </w:p>
    <w:p w:rsidR="00912559" w:rsidRDefault="00912559" w:rsidP="009B23E2">
      <w:pPr>
        <w:pStyle w:val="Zwykytekst"/>
        <w:spacing w:after="120"/>
      </w:pPr>
      <w:r>
        <w:t>To ma działać, a inżynierowie wybiorą najwygodniejszy spo</w:t>
      </w:r>
      <w:r w:rsidR="00116296">
        <w:t>sób dla konkretnej sytuacji!</w:t>
      </w:r>
    </w:p>
    <w:p w:rsidR="00912559" w:rsidRDefault="00912559" w:rsidP="00912559">
      <w:pPr>
        <w:pStyle w:val="Zwykytekst"/>
      </w:pPr>
    </w:p>
    <w:p w:rsidR="00912559" w:rsidRDefault="00116296" w:rsidP="00116296">
      <w:pPr>
        <w:pStyle w:val="Zwykytek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912559">
        <w:rPr>
          <w:b/>
          <w:bCs/>
        </w:rPr>
        <w:t>rzypadkowy katalog popularnych formatów</w:t>
      </w:r>
      <w:r>
        <w:rPr>
          <w:b/>
          <w:bCs/>
        </w:rPr>
        <w:t xml:space="preserve"> (uwaga p. Ostrowskiego)</w:t>
      </w:r>
    </w:p>
    <w:p w:rsidR="00116296" w:rsidRDefault="00116296" w:rsidP="00116296">
      <w:pPr>
        <w:pStyle w:val="Zwykytekst"/>
        <w:ind w:left="720"/>
        <w:rPr>
          <w:b/>
          <w:bCs/>
        </w:rPr>
      </w:pPr>
    </w:p>
    <w:p w:rsidR="00912559" w:rsidRPr="00116296" w:rsidRDefault="00C370B0" w:rsidP="009B23E2">
      <w:pPr>
        <w:pStyle w:val="Zwykyteks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pierwsze dobrze</w:t>
      </w:r>
      <w:r w:rsidR="00912559" w:rsidRPr="00116296">
        <w:rPr>
          <w:rFonts w:asciiTheme="minorHAnsi" w:hAnsiTheme="minorHAnsi" w:cstheme="minorHAnsi"/>
        </w:rPr>
        <w:t>, że popularnych, a nie tylko „słusznych”</w:t>
      </w:r>
      <w:r w:rsidR="00116296" w:rsidRPr="00116296">
        <w:rPr>
          <w:rFonts w:asciiTheme="minorHAnsi" w:hAnsiTheme="minorHAnsi" w:cstheme="minorHAnsi"/>
        </w:rPr>
        <w:t>.</w:t>
      </w:r>
    </w:p>
    <w:p w:rsidR="00912559" w:rsidRPr="00116296" w:rsidRDefault="00912559" w:rsidP="009B23E2">
      <w:pPr>
        <w:pStyle w:val="Zwykytekst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Po drugie, informacje normatywne zostały </w:t>
      </w:r>
      <w:r w:rsidR="00116296" w:rsidRPr="00116296">
        <w:rPr>
          <w:rFonts w:asciiTheme="minorHAnsi" w:hAnsiTheme="minorHAnsi" w:cstheme="minorHAnsi"/>
        </w:rPr>
        <w:t>w kolejnych pracach nad rozporządzeniem</w:t>
      </w:r>
      <w:r w:rsidRPr="00116296">
        <w:rPr>
          <w:rFonts w:asciiTheme="minorHAnsi" w:hAnsiTheme="minorHAnsi" w:cstheme="minorHAnsi"/>
        </w:rPr>
        <w:t xml:space="preserve"> poprawione</w:t>
      </w:r>
      <w:r w:rsidR="009B23E2">
        <w:rPr>
          <w:rFonts w:asciiTheme="minorHAnsi" w:hAnsiTheme="minorHAnsi" w:cstheme="minorHAnsi"/>
        </w:rPr>
        <w:t>.</w:t>
      </w:r>
    </w:p>
    <w:p w:rsidR="00912559" w:rsidRPr="00116296" w:rsidRDefault="00912559" w:rsidP="009B23E2">
      <w:pPr>
        <w:pStyle w:val="Zwykytekst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Notabene: </w:t>
      </w:r>
      <w:r w:rsidR="00116296">
        <w:rPr>
          <w:rFonts w:asciiTheme="minorHAnsi" w:hAnsiTheme="minorHAnsi" w:cstheme="minorHAnsi"/>
        </w:rPr>
        <w:t xml:space="preserve">warto rozważyć </w:t>
      </w:r>
      <w:r w:rsidRPr="00116296">
        <w:rPr>
          <w:rFonts w:asciiTheme="minorHAnsi" w:hAnsiTheme="minorHAnsi" w:cstheme="minorHAnsi"/>
        </w:rPr>
        <w:t>co to znaczy popularne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Aby określić rozpowszechnienie i popularność danego formatu można skorzystać z zaawansowanych opcji standardowej wyszukiwarki Google. Wyszukiwarka ta daje przy większych liczbach zastrzeżenie, że chodzi o przybliżoną liczbę dokumentów (np. dla pdf w domenie gov.pl jest to „około 933 000”). 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>Każdego dnia wyszukiwarka może wskazać nieco inny wynik choć nie powinny one od siebie znacząco odbiegać.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Nie jest to wyłączny i jedyny sposób zbadania rozpowszechnienia formatu. 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Dla celów sprawdzenia rozpowszechnienia metoda wydaje się dostatecznie dobra. 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Dla celów zbadania popularności formatu zerknijmy domenę .gov.pl jako reprezentatywną dla administracji oraz domenę .pl . </w:t>
      </w:r>
    </w:p>
    <w:p w:rsidR="00912559" w:rsidRPr="00116296" w:rsidRDefault="00912559" w:rsidP="009B23E2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116296">
        <w:rPr>
          <w:rFonts w:asciiTheme="minorHAnsi" w:hAnsiTheme="minorHAnsi" w:cstheme="minorHAnsi"/>
        </w:rPr>
        <w:t xml:space="preserve">Wyniki z maja 2011. </w:t>
      </w:r>
    </w:p>
    <w:p w:rsidR="00912559" w:rsidRPr="00116296" w:rsidRDefault="00912559" w:rsidP="00912559">
      <w:pPr>
        <w:autoSpaceDE w:val="0"/>
        <w:autoSpaceDN w:val="0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912559" w:rsidRPr="00116296" w:rsidTr="0091255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Nazwa formatu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Domena .gov.pl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16296">
              <w:rPr>
                <w:rFonts w:asciiTheme="minorHAnsi" w:hAnsiTheme="minorHAnsi" w:cstheme="minorHAnsi"/>
              </w:rPr>
              <w:t>Domena .pl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pdf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933 000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5 630 000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doc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142 000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2 450 000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rtf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14 100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521 000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txt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553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955 000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odt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55 900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ods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1 200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odp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1 570</w:t>
            </w:r>
          </w:p>
        </w:tc>
      </w:tr>
      <w:tr w:rsidR="00912559" w:rsidRPr="00116296" w:rsidTr="00912559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Nowe propozycje w KRI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xls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28 900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239 000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ppt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6 760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306 000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docx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2 590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298 000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xlsx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336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5 110</w:t>
            </w:r>
          </w:p>
        </w:tc>
      </w:tr>
      <w:tr w:rsidR="00912559" w:rsidRPr="00116296" w:rsidTr="0091255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pptx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59" w:rsidRPr="00116296" w:rsidRDefault="0091255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116296">
              <w:rPr>
                <w:rFonts w:asciiTheme="minorHAnsi" w:hAnsiTheme="minorHAnsi" w:cstheme="minorHAnsi"/>
              </w:rPr>
              <w:t>13 900</w:t>
            </w:r>
          </w:p>
        </w:tc>
      </w:tr>
    </w:tbl>
    <w:p w:rsidR="00912559" w:rsidRPr="00116296" w:rsidRDefault="00912559" w:rsidP="00912559">
      <w:pPr>
        <w:pStyle w:val="Zwykytekst"/>
        <w:rPr>
          <w:rFonts w:asciiTheme="minorHAnsi" w:hAnsiTheme="minorHAnsi" w:cstheme="minorHAnsi"/>
        </w:rPr>
      </w:pPr>
    </w:p>
    <w:p w:rsidR="00912559" w:rsidRDefault="00116296" w:rsidP="00912559">
      <w:pPr>
        <w:pStyle w:val="Zwyky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Wnioski co do wprowadzenia na listę standardów pewnych formatów (a być może także usunięcia niektórych dotąd stosowanych) jest stosunkowo łatwo wyciągnąć!</w:t>
      </w:r>
    </w:p>
    <w:p w:rsidR="00116296" w:rsidRPr="00116296" w:rsidRDefault="00116296" w:rsidP="00912559">
      <w:pPr>
        <w:pStyle w:val="Zwykytekst"/>
        <w:rPr>
          <w:rFonts w:asciiTheme="minorHAnsi" w:hAnsiTheme="minorHAnsi" w:cstheme="minorHAnsi"/>
        </w:rPr>
      </w:pPr>
    </w:p>
    <w:p w:rsidR="00912559" w:rsidRPr="00116296" w:rsidRDefault="00912559" w:rsidP="00912559">
      <w:pPr>
        <w:pStyle w:val="Zwykytekst"/>
        <w:rPr>
          <w:rFonts w:asciiTheme="minorHAnsi" w:hAnsiTheme="minorHAnsi" w:cstheme="minorHAnsi"/>
        </w:rPr>
      </w:pPr>
    </w:p>
    <w:p w:rsidR="00912559" w:rsidRDefault="00116296" w:rsidP="00116296">
      <w:pPr>
        <w:pStyle w:val="Zwykytek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912559">
        <w:rPr>
          <w:b/>
          <w:bCs/>
        </w:rPr>
        <w:t>astosowanie archaicznych formatów rtf</w:t>
      </w:r>
      <w:r>
        <w:rPr>
          <w:b/>
          <w:bCs/>
        </w:rPr>
        <w:t xml:space="preserve"> (uwaga p. Ostrowskiego)</w:t>
      </w:r>
    </w:p>
    <w:p w:rsidR="00116296" w:rsidRDefault="00116296" w:rsidP="00116296">
      <w:pPr>
        <w:pStyle w:val="Zwykytekst"/>
        <w:ind w:left="720"/>
        <w:rPr>
          <w:b/>
          <w:bCs/>
        </w:rPr>
      </w:pPr>
    </w:p>
    <w:p w:rsidR="00912559" w:rsidRDefault="00912559" w:rsidP="00912559">
      <w:pPr>
        <w:pStyle w:val="Zwykytekst"/>
      </w:pPr>
      <w:r>
        <w:t>Po pierwsze ciągłość interoperacyjności</w:t>
      </w:r>
      <w:r w:rsidR="00116296">
        <w:t xml:space="preserve"> jest niezwykle ważna</w:t>
      </w:r>
      <w:r>
        <w:t xml:space="preserve">, po drugie patrz tabela powyżej... </w:t>
      </w:r>
    </w:p>
    <w:p w:rsidR="00912559" w:rsidRDefault="00912559" w:rsidP="00912559">
      <w:pPr>
        <w:pStyle w:val="Zwykytekst"/>
      </w:pPr>
      <w:r>
        <w:lastRenderedPageBreak/>
        <w:t xml:space="preserve">I co z tego że </w:t>
      </w:r>
      <w:r w:rsidR="00116296">
        <w:t>rtf to „</w:t>
      </w:r>
      <w:r>
        <w:t>archaiczny</w:t>
      </w:r>
      <w:r w:rsidR="00116296">
        <w:t>” format skoro jest tak powszechnie używany</w:t>
      </w:r>
      <w:r>
        <w:t>?</w:t>
      </w:r>
    </w:p>
    <w:p w:rsidR="00912559" w:rsidRDefault="00912559" w:rsidP="00912559">
      <w:pPr>
        <w:pStyle w:val="Zwykytekst"/>
      </w:pPr>
    </w:p>
    <w:p w:rsidR="00912559" w:rsidRPr="00912559" w:rsidRDefault="00116296" w:rsidP="00116296">
      <w:pPr>
        <w:pStyle w:val="Zwykytek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</w:t>
      </w:r>
      <w:r w:rsidR="00912559" w:rsidRPr="00912559">
        <w:rPr>
          <w:b/>
          <w:bCs/>
        </w:rPr>
        <w:t>ormaty niszowe</w:t>
      </w:r>
      <w:r>
        <w:rPr>
          <w:b/>
          <w:bCs/>
        </w:rPr>
        <w:t xml:space="preserve"> (uwaga p. Ostrowskiego)</w:t>
      </w:r>
    </w:p>
    <w:p w:rsidR="00116296" w:rsidRDefault="00116296" w:rsidP="00912559">
      <w:pPr>
        <w:pStyle w:val="Zwykytekst"/>
      </w:pPr>
    </w:p>
    <w:p w:rsidR="00912559" w:rsidRDefault="00116296" w:rsidP="00912559">
      <w:pPr>
        <w:pStyle w:val="Zwykytekst"/>
      </w:pPr>
      <w:r>
        <w:t>W</w:t>
      </w:r>
      <w:r w:rsidR="00912559">
        <w:t>arto zachować dla niektórych zadań.</w:t>
      </w:r>
      <w:r>
        <w:t xml:space="preserve"> Nie warto natomiast dodawać nowych np. Akoma Ntoso.</w:t>
      </w:r>
    </w:p>
    <w:p w:rsidR="00912559" w:rsidRDefault="00912559" w:rsidP="00912559">
      <w:pPr>
        <w:pStyle w:val="Zwykytekst"/>
      </w:pPr>
    </w:p>
    <w:p w:rsidR="00912559" w:rsidRDefault="00912559" w:rsidP="00116296">
      <w:pPr>
        <w:pStyle w:val="Zwykytek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Inne standardy</w:t>
      </w:r>
      <w:r w:rsidR="00116296">
        <w:rPr>
          <w:b/>
          <w:bCs/>
        </w:rPr>
        <w:t xml:space="preserve"> (uwaga p. Ostrowskiego)</w:t>
      </w:r>
    </w:p>
    <w:p w:rsidR="00116296" w:rsidRDefault="00116296" w:rsidP="00116296">
      <w:pPr>
        <w:pStyle w:val="Zwykytekst"/>
        <w:ind w:left="720"/>
        <w:rPr>
          <w:b/>
          <w:bCs/>
        </w:rPr>
      </w:pPr>
    </w:p>
    <w:p w:rsidR="00912559" w:rsidRDefault="00912559" w:rsidP="00912559">
      <w:pPr>
        <w:pStyle w:val="Zwykytekst"/>
      </w:pPr>
      <w:r>
        <w:t>To jest rozporządzenie, a nie ustawa.</w:t>
      </w:r>
      <w:r w:rsidR="00116296">
        <w:t xml:space="preserve"> Sposób zmiany rozporządzenia jest prostszy.</w:t>
      </w:r>
    </w:p>
    <w:p w:rsidR="00912559" w:rsidRDefault="00912559" w:rsidP="00912559">
      <w:pPr>
        <w:pStyle w:val="Zwykytekst"/>
      </w:pPr>
      <w:r>
        <w:t xml:space="preserve">Jeśli będzie potrzeba innych standardów i uzupełnienia załączników </w:t>
      </w:r>
      <w:r w:rsidR="00116296">
        <w:t xml:space="preserve">np. o standardy związane z semantyką i strukturami danych, czy też architekturą korporacyjną </w:t>
      </w:r>
      <w:r>
        <w:t xml:space="preserve">– można taką dyskusję rozpocząć i po paru miesiącach </w:t>
      </w:r>
      <w:r w:rsidR="00116296">
        <w:t xml:space="preserve">dialogu społecznego </w:t>
      </w:r>
      <w:r>
        <w:t>przygotować odpowiednią listę.</w:t>
      </w:r>
    </w:p>
    <w:p w:rsidR="00912559" w:rsidRDefault="00116296" w:rsidP="00116296">
      <w:pPr>
        <w:pStyle w:val="Zwykytekst"/>
      </w:pPr>
      <w:r>
        <w:t>Nie uważamy, że to jest właściwy moment w procesie przygotowania rozporządzenia na rozpoczynanie tej dyskusji</w:t>
      </w:r>
    </w:p>
    <w:p w:rsidR="005752FE" w:rsidRDefault="005752FE"/>
    <w:sectPr w:rsidR="005752FE" w:rsidSect="001210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C9" w:rsidRDefault="000A2AC9" w:rsidP="00116296">
      <w:r>
        <w:separator/>
      </w:r>
    </w:p>
  </w:endnote>
  <w:endnote w:type="continuationSeparator" w:id="0">
    <w:p w:rsidR="000A2AC9" w:rsidRDefault="000A2AC9" w:rsidP="0011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92" w:rsidRPr="00AE6A92" w:rsidRDefault="00AE6A92">
    <w:pPr>
      <w:pStyle w:val="Stopka"/>
      <w:jc w:val="right"/>
      <w:rPr>
        <w:sz w:val="20"/>
      </w:rPr>
    </w:pPr>
    <w:r w:rsidRPr="00AE6A92">
      <w:rPr>
        <w:sz w:val="20"/>
      </w:rPr>
      <w:t xml:space="preserve">Komentarz PIIT do </w:t>
    </w:r>
    <w:proofErr w:type="spellStart"/>
    <w:r w:rsidRPr="00AE6A92">
      <w:rPr>
        <w:sz w:val="20"/>
      </w:rPr>
      <w:t>interoperacyjności</w:t>
    </w:r>
    <w:proofErr w:type="spellEnd"/>
    <w:r w:rsidRPr="00AE6A92">
      <w:rPr>
        <w:sz w:val="20"/>
      </w:rPr>
      <w:t xml:space="preserve"> w ramach KRI</w:t>
    </w:r>
    <w:r>
      <w:rPr>
        <w:sz w:val="20"/>
      </w:rPr>
      <w:t xml:space="preserve">      </w:t>
    </w:r>
    <w:r w:rsidRPr="00AE6A92">
      <w:rPr>
        <w:sz w:val="20"/>
      </w:rPr>
      <w:t xml:space="preserve">  </w:t>
    </w:r>
    <w:sdt>
      <w:sdtPr>
        <w:rPr>
          <w:sz w:val="20"/>
        </w:rPr>
        <w:id w:val="4490676"/>
        <w:docPartObj>
          <w:docPartGallery w:val="Page Numbers (Bottom of Page)"/>
          <w:docPartUnique/>
        </w:docPartObj>
      </w:sdtPr>
      <w:sdtContent>
        <w:r w:rsidRPr="00AE6A92">
          <w:rPr>
            <w:sz w:val="20"/>
          </w:rPr>
          <w:fldChar w:fldCharType="begin"/>
        </w:r>
        <w:r w:rsidRPr="00AE6A92">
          <w:rPr>
            <w:sz w:val="20"/>
          </w:rPr>
          <w:instrText xml:space="preserve"> PAGE   \* MERGEFORMAT </w:instrText>
        </w:r>
        <w:r w:rsidRPr="00AE6A9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AE6A92">
          <w:rPr>
            <w:sz w:val="20"/>
          </w:rPr>
          <w:fldChar w:fldCharType="end"/>
        </w:r>
      </w:sdtContent>
    </w:sdt>
  </w:p>
  <w:p w:rsidR="00AE6A92" w:rsidRDefault="00AE6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C9" w:rsidRDefault="000A2AC9" w:rsidP="00116296">
      <w:r>
        <w:separator/>
      </w:r>
    </w:p>
  </w:footnote>
  <w:footnote w:type="continuationSeparator" w:id="0">
    <w:p w:rsidR="000A2AC9" w:rsidRDefault="000A2AC9" w:rsidP="0011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7DA"/>
    <w:multiLevelType w:val="hybridMultilevel"/>
    <w:tmpl w:val="401A7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3532"/>
    <w:multiLevelType w:val="hybridMultilevel"/>
    <w:tmpl w:val="45CA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559"/>
    <w:rsid w:val="00032DD2"/>
    <w:rsid w:val="000A2AC9"/>
    <w:rsid w:val="00116296"/>
    <w:rsid w:val="00121019"/>
    <w:rsid w:val="00154C84"/>
    <w:rsid w:val="00170B74"/>
    <w:rsid w:val="005752FE"/>
    <w:rsid w:val="00912559"/>
    <w:rsid w:val="009B22AE"/>
    <w:rsid w:val="009B23E2"/>
    <w:rsid w:val="00AD0839"/>
    <w:rsid w:val="00AE6A92"/>
    <w:rsid w:val="00C370B0"/>
    <w:rsid w:val="00D2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255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12559"/>
  </w:style>
  <w:style w:type="character" w:customStyle="1" w:styleId="ZwykytekstZnak">
    <w:name w:val="Zwykły tekst Znak"/>
    <w:basedOn w:val="Domylnaczcionkaakapitu"/>
    <w:link w:val="Zwykytekst"/>
    <w:uiPriority w:val="99"/>
    <w:rsid w:val="00912559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29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296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5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559"/>
  </w:style>
  <w:style w:type="character" w:customStyle="1" w:styleId="PlainTextChar">
    <w:name w:val="Plain Text Char"/>
    <w:basedOn w:val="DefaultParagraphFont"/>
    <w:link w:val="PlainText"/>
    <w:uiPriority w:val="99"/>
    <w:rsid w:val="00912559"/>
    <w:rPr>
      <w:rFonts w:ascii="Calibri" w:hAnsi="Calibri" w:cs="Calibri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116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96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16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96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n-notz.de/downloads/antwort-ka_bmi_quelloffene-software-aa_03-05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n-notz.de/downloads/antwort-ka_bmi_quelloffene-software-aa_03-05-2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PIIT</dc:title>
  <dc:subject>interoperacyjność</dc:subject>
  <dc:creator/>
  <cp:lastModifiedBy/>
  <cp:revision>1</cp:revision>
  <dcterms:created xsi:type="dcterms:W3CDTF">2011-06-02T10:14:00Z</dcterms:created>
  <dcterms:modified xsi:type="dcterms:W3CDTF">2011-06-02T10:14:00Z</dcterms:modified>
</cp:coreProperties>
</file>